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快递保障社会化服务</w:t>
      </w:r>
      <w:r>
        <w:rPr>
          <w:rFonts w:hint="eastAsia" w:asciiTheme="majorEastAsia" w:hAnsiTheme="majorEastAsia" w:eastAsiaTheme="majorEastAsia" w:cstheme="majorEastAsia"/>
          <w:b/>
          <w:bCs/>
          <w:sz w:val="44"/>
          <w:szCs w:val="44"/>
        </w:rPr>
        <w:t>采购需求文件</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一、采购项目基本情况</w:t>
      </w:r>
    </w:p>
    <w:p>
      <w:pPr>
        <w:spacing w:line="579"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eastAsia="zh-CN"/>
        </w:rPr>
        <w:t>院本部设置</w:t>
      </w:r>
      <w:r>
        <w:rPr>
          <w:rFonts w:hint="eastAsia" w:ascii="仿宋_GB2312" w:hAnsi="仿宋" w:eastAsia="仿宋_GB2312" w:cs="仿宋_GB2312"/>
          <w:color w:val="000000"/>
          <w:sz w:val="32"/>
          <w:szCs w:val="32"/>
        </w:rPr>
        <w:t>东校区（</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个取件点）</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西校区（1个取件点）</w:t>
      </w:r>
      <w:r>
        <w:rPr>
          <w:rFonts w:hint="eastAsia" w:ascii="仿宋_GB2312" w:hAnsi="仿宋" w:eastAsia="仿宋_GB2312" w:cs="仿宋_GB2312"/>
          <w:color w:val="000000"/>
          <w:sz w:val="32"/>
          <w:szCs w:val="32"/>
          <w:lang w:eastAsia="zh-CN"/>
        </w:rPr>
        <w:t>取件点，</w:t>
      </w:r>
      <w:r>
        <w:rPr>
          <w:rFonts w:hint="eastAsia" w:ascii="仿宋_GB2312" w:hAnsi="仿宋" w:eastAsia="仿宋_GB2312" w:cs="仿宋_GB2312"/>
          <w:color w:val="000000"/>
          <w:sz w:val="32"/>
          <w:szCs w:val="32"/>
        </w:rPr>
        <w:t>负责收件、寄件（含普通邮寄、EMS、快递包裹）。</w:t>
      </w:r>
      <w:r>
        <w:rPr>
          <w:rFonts w:hint="eastAsia" w:ascii="仿宋_GB2312" w:hAnsi="仿宋" w:eastAsia="仿宋_GB2312" w:cs="仿宋_GB2312"/>
          <w:color w:val="000000"/>
          <w:sz w:val="32"/>
          <w:szCs w:val="32"/>
          <w:lang w:eastAsia="zh-CN"/>
        </w:rPr>
        <w:t>保障人数相对稳定，具有独立的快递经营场地，投标方实行整体承包经营，自负盈亏保障模式。</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二、详细技术参数/服务内容及标准要求</w:t>
      </w:r>
    </w:p>
    <w:p>
      <w:pPr>
        <w:widowControl w:val="0"/>
        <w:spacing w:line="560" w:lineRule="exact"/>
        <w:ind w:left="0" w:firstLine="643" w:firstLineChars="200"/>
        <w:jc w:val="both"/>
        <w:rPr>
          <w:rFonts w:ascii="楷体_GB2312" w:hAnsi="黑体" w:eastAsia="楷体_GB2312" w:cs="宋体"/>
          <w:b/>
          <w:kern w:val="0"/>
          <w:sz w:val="32"/>
          <w:szCs w:val="32"/>
          <w:u w:val="none" w:color="000000"/>
          <w:lang w:val="en-US" w:eastAsia="zh-CN" w:bidi="ar-SA"/>
        </w:rPr>
      </w:pPr>
      <w:r>
        <w:rPr>
          <w:rFonts w:hint="eastAsia" w:ascii="楷体_GB2312" w:hAnsi="黑体" w:eastAsia="楷体_GB2312" w:cs="宋体"/>
          <w:b/>
          <w:kern w:val="0"/>
          <w:sz w:val="32"/>
          <w:szCs w:val="32"/>
          <w:u w:val="none" w:color="000000"/>
          <w:lang w:val="en-US" w:eastAsia="zh-CN" w:bidi="ar-SA"/>
        </w:rPr>
        <w:t>（一）服务范围</w:t>
      </w:r>
    </w:p>
    <w:p>
      <w:pPr>
        <w:widowControl w:val="0"/>
        <w:spacing w:line="560" w:lineRule="exact"/>
        <w:ind w:left="0" w:firstLine="640" w:firstLineChars="200"/>
        <w:jc w:val="both"/>
        <w:rPr>
          <w:rFonts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该项目分1个包段，选取1家快递公司快递点3个（东校区2个、西校区1个），保障人数相对稳定，具有独立的快递经营场地，投标方实行整体承包经营，自负盈亏保障模式。具体如下：</w:t>
      </w:r>
    </w:p>
    <w:tbl>
      <w:tblPr>
        <w:tblStyle w:val="6"/>
        <w:tblW w:w="10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525"/>
        <w:gridCol w:w="2639"/>
        <w:gridCol w:w="363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654" w:type="dxa"/>
            <w:noWrap w:val="0"/>
            <w:vAlign w:val="center"/>
          </w:tcPr>
          <w:p>
            <w:pPr>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包号</w:t>
            </w:r>
          </w:p>
        </w:tc>
        <w:tc>
          <w:tcPr>
            <w:tcW w:w="1525" w:type="dxa"/>
            <w:noWrap w:val="0"/>
            <w:vAlign w:val="center"/>
          </w:tcPr>
          <w:p>
            <w:pPr>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服务区域</w:t>
            </w:r>
          </w:p>
        </w:tc>
        <w:tc>
          <w:tcPr>
            <w:tcW w:w="2639" w:type="dxa"/>
            <w:tcBorders>
              <w:bottom w:val="single" w:color="auto" w:sz="4" w:space="0"/>
            </w:tcBorders>
            <w:noWrap w:val="0"/>
            <w:vAlign w:val="center"/>
          </w:tcPr>
          <w:p>
            <w:pPr>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服务范围</w:t>
            </w:r>
          </w:p>
        </w:tc>
        <w:tc>
          <w:tcPr>
            <w:tcW w:w="3633" w:type="dxa"/>
            <w:tcBorders>
              <w:bottom w:val="single" w:color="auto" w:sz="4" w:space="0"/>
            </w:tcBorders>
            <w:noWrap w:val="0"/>
            <w:vAlign w:val="center"/>
          </w:tcPr>
          <w:p>
            <w:pPr>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具体地址</w:t>
            </w:r>
          </w:p>
        </w:tc>
        <w:tc>
          <w:tcPr>
            <w:tcW w:w="1701" w:type="dxa"/>
            <w:noWrap w:val="0"/>
            <w:vAlign w:val="center"/>
          </w:tcPr>
          <w:p>
            <w:pPr>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654" w:type="dxa"/>
            <w:tcBorders>
              <w:bottom w:val="single" w:color="auto" w:sz="4" w:space="0"/>
            </w:tcBorders>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w:t>
            </w:r>
          </w:p>
        </w:tc>
        <w:tc>
          <w:tcPr>
            <w:tcW w:w="1525" w:type="dxa"/>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东校区（</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个取件点）</w:t>
            </w:r>
          </w:p>
        </w:tc>
        <w:tc>
          <w:tcPr>
            <w:tcW w:w="2639" w:type="dxa"/>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Calibri" w:eastAsia="仿宋_GB2312" w:cs="黑体"/>
                <w:sz w:val="32"/>
                <w:szCs w:val="32"/>
              </w:rPr>
              <w:t>负责收件、寄件（含普通邮寄、EMS、快递包裹），仅限为学院内部人员服务。</w:t>
            </w:r>
          </w:p>
        </w:tc>
        <w:tc>
          <w:tcPr>
            <w:tcW w:w="3633" w:type="dxa"/>
            <w:tcBorders>
              <w:bottom w:val="single" w:color="auto" w:sz="4" w:space="0"/>
            </w:tcBorders>
            <w:noWrap w:val="0"/>
            <w:vAlign w:val="center"/>
          </w:tcPr>
          <w:p>
            <w:pPr>
              <w:spacing w:line="440" w:lineRule="exact"/>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安徽省合肥市</w:t>
            </w:r>
          </w:p>
          <w:p>
            <w:pPr>
              <w:spacing w:line="440" w:lineRule="exact"/>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蜀山区东至路5号院内（</w:t>
            </w:r>
            <w:r>
              <w:rPr>
                <w:rFonts w:hint="eastAsia" w:ascii="仿宋_GB2312" w:hAnsi="Calibri" w:eastAsia="仿宋_GB2312" w:cs="黑体"/>
                <w:sz w:val="32"/>
                <w:szCs w:val="32"/>
              </w:rPr>
              <w:t>教学区营业点设立在原兴业银行营业处，家属区营业点设立在东门传达室南侧第三个房间</w:t>
            </w:r>
            <w:r>
              <w:rPr>
                <w:rFonts w:hint="eastAsia" w:ascii="仿宋_GB2312" w:hAnsi="Times New Roman" w:eastAsia="仿宋_GB2312" w:cs="Times New Roman"/>
                <w:kern w:val="0"/>
                <w:sz w:val="32"/>
                <w:szCs w:val="32"/>
              </w:rPr>
              <w:t>）</w:t>
            </w:r>
          </w:p>
        </w:tc>
        <w:tc>
          <w:tcPr>
            <w:tcW w:w="1701" w:type="dxa"/>
            <w:noWrap w:val="0"/>
            <w:vAlign w:val="center"/>
          </w:tcPr>
          <w:p>
            <w:pPr>
              <w:spacing w:line="440" w:lineRule="exact"/>
              <w:rPr>
                <w:rFonts w:ascii="仿宋_GB2312" w:hAnsi="宋体" w:eastAsia="仿宋_GB2312" w:cs="Times New Roman"/>
                <w:kern w:val="0"/>
                <w:sz w:val="32"/>
                <w:szCs w:val="32"/>
              </w:rPr>
            </w:pPr>
            <w:r>
              <w:rPr>
                <w:rFonts w:hint="eastAsia" w:ascii="仿宋_GB2312" w:hAnsi="Calibri" w:eastAsia="仿宋_GB2312" w:cs="黑体"/>
                <w:sz w:val="32"/>
                <w:szCs w:val="32"/>
              </w:rPr>
              <w:t>经营场地</w:t>
            </w:r>
            <w:r>
              <w:rPr>
                <w:rFonts w:hint="eastAsia" w:ascii="仿宋_GB2312" w:hAnsi="Times New Roman" w:eastAsia="仿宋_GB2312" w:cs="Times New Roman"/>
                <w:kern w:val="0"/>
                <w:sz w:val="32"/>
                <w:szCs w:val="32"/>
              </w:rPr>
              <w:t>总面积约400平方米，保障人数约3000人。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jc w:val="center"/>
        </w:trPr>
        <w:tc>
          <w:tcPr>
            <w:tcW w:w="654" w:type="dxa"/>
            <w:tcBorders>
              <w:top w:val="single" w:color="auto" w:sz="4" w:space="0"/>
            </w:tcBorders>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p>
        </w:tc>
        <w:tc>
          <w:tcPr>
            <w:tcW w:w="1525" w:type="dxa"/>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西校区（1个取件点）</w:t>
            </w:r>
          </w:p>
        </w:tc>
        <w:tc>
          <w:tcPr>
            <w:tcW w:w="2639" w:type="dxa"/>
            <w:tcBorders>
              <w:bottom w:val="single" w:color="auto" w:sz="4" w:space="0"/>
            </w:tcBorders>
            <w:noWrap w:val="0"/>
            <w:vAlign w:val="center"/>
          </w:tcPr>
          <w:p>
            <w:pPr>
              <w:spacing w:line="440" w:lineRule="exact"/>
              <w:jc w:val="center"/>
              <w:rPr>
                <w:rFonts w:ascii="仿宋_GB2312" w:hAnsi="宋体" w:eastAsia="仿宋_GB2312" w:cs="Times New Roman"/>
                <w:kern w:val="0"/>
                <w:sz w:val="32"/>
                <w:szCs w:val="32"/>
              </w:rPr>
            </w:pPr>
            <w:r>
              <w:rPr>
                <w:rFonts w:hint="eastAsia" w:ascii="仿宋_GB2312" w:hAnsi="Calibri" w:eastAsia="仿宋_GB2312" w:cs="黑体"/>
                <w:sz w:val="32"/>
                <w:szCs w:val="32"/>
              </w:rPr>
              <w:t>负责收件、寄件（含普通邮寄、EMS、快递包裹），仅限为学院内部人员服务。</w:t>
            </w:r>
          </w:p>
        </w:tc>
        <w:tc>
          <w:tcPr>
            <w:tcW w:w="3633" w:type="dxa"/>
            <w:tcBorders>
              <w:top w:val="single" w:color="auto" w:sz="4" w:space="0"/>
              <w:bottom w:val="single" w:color="auto" w:sz="4" w:space="0"/>
            </w:tcBorders>
            <w:noWrap w:val="0"/>
            <w:vAlign w:val="center"/>
          </w:tcPr>
          <w:p>
            <w:pPr>
              <w:spacing w:line="440" w:lineRule="exact"/>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安徽省合肥市</w:t>
            </w:r>
          </w:p>
          <w:p>
            <w:pPr>
              <w:spacing w:line="440" w:lineRule="exact"/>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蜀山区大别山路888号院内（</w:t>
            </w:r>
            <w:r>
              <w:rPr>
                <w:rFonts w:hint="eastAsia" w:ascii="仿宋_GB2312" w:hAnsi="Calibri" w:eastAsia="仿宋_GB2312" w:cs="黑体"/>
                <w:sz w:val="32"/>
                <w:szCs w:val="32"/>
              </w:rPr>
              <w:t>西区食堂西侧第三个房间</w:t>
            </w:r>
            <w:r>
              <w:rPr>
                <w:rFonts w:hint="eastAsia" w:ascii="仿宋_GB2312" w:hAnsi="Times New Roman" w:eastAsia="仿宋_GB2312" w:cs="Times New Roman"/>
                <w:kern w:val="0"/>
                <w:sz w:val="32"/>
                <w:szCs w:val="32"/>
              </w:rPr>
              <w:t>）</w:t>
            </w:r>
          </w:p>
        </w:tc>
        <w:tc>
          <w:tcPr>
            <w:tcW w:w="1701" w:type="dxa"/>
            <w:noWrap w:val="0"/>
            <w:vAlign w:val="center"/>
          </w:tcPr>
          <w:p>
            <w:pPr>
              <w:spacing w:line="440" w:lineRule="exact"/>
              <w:jc w:val="center"/>
              <w:rPr>
                <w:rFonts w:ascii="仿宋_GB2312" w:hAnsi="Times New Roman" w:eastAsia="仿宋_GB2312" w:cs="Times New Roman"/>
                <w:kern w:val="0"/>
                <w:sz w:val="32"/>
                <w:szCs w:val="32"/>
              </w:rPr>
            </w:pPr>
            <w:r>
              <w:rPr>
                <w:rFonts w:hint="eastAsia" w:ascii="仿宋_GB2312" w:hAnsi="Calibri" w:eastAsia="仿宋_GB2312" w:cs="黑体"/>
                <w:sz w:val="32"/>
                <w:szCs w:val="32"/>
              </w:rPr>
              <w:t>经营场地</w:t>
            </w:r>
            <w:r>
              <w:rPr>
                <w:rFonts w:hint="eastAsia" w:ascii="仿宋_GB2312" w:hAnsi="Times New Roman" w:eastAsia="仿宋_GB2312" w:cs="Times New Roman"/>
                <w:kern w:val="0"/>
                <w:sz w:val="32"/>
                <w:szCs w:val="32"/>
              </w:rPr>
              <w:t>总面积约100平方米，保障人数约1500人。</w:t>
            </w:r>
          </w:p>
        </w:tc>
      </w:tr>
    </w:tbl>
    <w:p>
      <w:pPr>
        <w:widowControl w:val="0"/>
        <w:spacing w:line="560" w:lineRule="exact"/>
        <w:ind w:left="0" w:firstLine="643" w:firstLineChars="200"/>
        <w:jc w:val="both"/>
        <w:rPr>
          <w:rFonts w:ascii="楷体" w:hAnsi="楷体" w:eastAsia="楷体" w:cs="楷体"/>
          <w:b/>
          <w:bCs/>
          <w:kern w:val="0"/>
          <w:sz w:val="32"/>
          <w:szCs w:val="32"/>
          <w:lang w:val="en-US" w:eastAsia="zh-CN" w:bidi="ar-SA"/>
        </w:rPr>
      </w:pPr>
      <w:r>
        <w:rPr>
          <w:rFonts w:hint="eastAsia" w:ascii="楷体_GB2312" w:hAnsi="黑体" w:eastAsia="楷体_GB2312" w:cs="宋体"/>
          <w:b/>
          <w:kern w:val="0"/>
          <w:sz w:val="32"/>
          <w:szCs w:val="32"/>
          <w:u w:val="none" w:color="000000"/>
          <w:lang w:val="en-US" w:eastAsia="zh-CN" w:bidi="ar-SA"/>
        </w:rPr>
        <w:t>（二）场地装修</w:t>
      </w:r>
    </w:p>
    <w:p>
      <w:pPr>
        <w:spacing w:line="560" w:lineRule="exact"/>
        <w:ind w:firstLine="627" w:firstLineChars="196"/>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由投标方负责出资对各取件点进行重新装修（</w:t>
      </w:r>
      <w:r>
        <w:rPr>
          <w:rFonts w:hint="eastAsia" w:ascii="仿宋_GB2312" w:hAnsi="宋体" w:eastAsia="仿宋_GB2312" w:cs="Times New Roman"/>
          <w:kern w:val="0"/>
          <w:sz w:val="32"/>
          <w:szCs w:val="32"/>
          <w:lang w:eastAsia="zh-CN"/>
        </w:rPr>
        <w:t>在家属区营业点</w:t>
      </w:r>
      <w:r>
        <w:rPr>
          <w:rFonts w:hint="eastAsia" w:ascii="仿宋_GB2312" w:hAnsi="宋体" w:eastAsia="仿宋_GB2312" w:cs="Times New Roman"/>
          <w:kern w:val="0"/>
          <w:sz w:val="32"/>
          <w:szCs w:val="32"/>
        </w:rPr>
        <w:t>开</w:t>
      </w:r>
      <w:bookmarkStart w:id="0" w:name="_GoBack"/>
      <w:bookmarkEnd w:id="0"/>
      <w:r>
        <w:rPr>
          <w:rFonts w:hint="eastAsia" w:ascii="仿宋_GB2312" w:hAnsi="宋体" w:eastAsia="仿宋_GB2312" w:cs="Times New Roman"/>
          <w:kern w:val="0"/>
          <w:sz w:val="32"/>
          <w:szCs w:val="32"/>
        </w:rPr>
        <w:t>设</w:t>
      </w:r>
      <w:r>
        <w:rPr>
          <w:rFonts w:hint="eastAsia" w:ascii="仿宋_GB2312" w:hAnsi="宋体" w:eastAsia="仿宋_GB2312" w:cs="Times New Roman"/>
          <w:kern w:val="0"/>
          <w:sz w:val="32"/>
          <w:szCs w:val="32"/>
          <w:lang w:eastAsia="zh-CN"/>
        </w:rPr>
        <w:t>院内</w:t>
      </w:r>
      <w:r>
        <w:rPr>
          <w:rFonts w:hint="eastAsia" w:ascii="仿宋_GB2312" w:hAnsi="宋体" w:eastAsia="仿宋_GB2312" w:cs="Times New Roman"/>
          <w:kern w:val="0"/>
          <w:sz w:val="32"/>
          <w:szCs w:val="32"/>
        </w:rPr>
        <w:t>取件口、墙体粉刷等），内部设计应符合《快递营业场所设计基本要求》（YZ/T 0137-2015）相关规定，具备配套的标示牌、智能快递柜（地面整修、车棚整改等）、货架、营业终端、计量设备、包裹收取检验检疫、封装设备以及监控消防等设施。门店门头设计应结合军营特点，符合军队有关要求。装修前，投标方需向招标方简要汇报设计方案，同意后方可施工（</w:t>
      </w:r>
      <w:r>
        <w:rPr>
          <w:rFonts w:hint="eastAsia" w:ascii="仿宋_GB2312" w:hAnsi="宋体" w:eastAsia="仿宋_GB2312" w:cs="Times New Roman"/>
          <w:kern w:val="0"/>
          <w:sz w:val="32"/>
          <w:szCs w:val="32"/>
          <w:lang w:val="en-US" w:eastAsia="zh-CN"/>
        </w:rPr>
        <w:t>10月18号前</w:t>
      </w:r>
      <w:r>
        <w:rPr>
          <w:rFonts w:hint="eastAsia" w:ascii="仿宋_GB2312" w:hAnsi="宋体" w:eastAsia="仿宋_GB2312" w:cs="Times New Roman"/>
          <w:kern w:val="0"/>
          <w:sz w:val="32"/>
          <w:szCs w:val="32"/>
        </w:rPr>
        <w:t>装修完毕，并投入使用）。装修结束后由业务部门参与验收，合格后投入运营。</w:t>
      </w:r>
    </w:p>
    <w:p>
      <w:pPr>
        <w:widowControl w:val="0"/>
        <w:spacing w:line="560" w:lineRule="exact"/>
        <w:ind w:left="0" w:firstLine="643" w:firstLineChars="200"/>
        <w:jc w:val="both"/>
        <w:rPr>
          <w:rFonts w:ascii="楷体_GB2312" w:hAnsi="黑体" w:eastAsia="楷体_GB2312" w:cs="宋体"/>
          <w:b/>
          <w:kern w:val="0"/>
          <w:sz w:val="32"/>
          <w:szCs w:val="32"/>
          <w:u w:val="none" w:color="000000"/>
          <w:lang w:val="en-US" w:eastAsia="zh-CN" w:bidi="ar-SA"/>
        </w:rPr>
      </w:pPr>
      <w:r>
        <w:rPr>
          <w:rFonts w:hint="eastAsia" w:ascii="楷体_GB2312" w:hAnsi="黑体" w:eastAsia="楷体_GB2312" w:cs="宋体"/>
          <w:b/>
          <w:kern w:val="0"/>
          <w:sz w:val="32"/>
          <w:szCs w:val="32"/>
          <w:u w:val="none" w:color="000000"/>
          <w:lang w:val="en-US" w:eastAsia="zh-CN" w:bidi="ar-SA"/>
        </w:rPr>
        <w:t>（三）经营时间</w:t>
      </w:r>
    </w:p>
    <w:p>
      <w:pPr>
        <w:spacing w:line="560" w:lineRule="exact"/>
        <w:ind w:firstLine="627" w:firstLineChars="196"/>
        <w:rPr>
          <w:rFonts w:ascii="仿宋_GB2312" w:hAnsi="宋体" w:eastAsia="仿宋_GB2312" w:cs="Times New Roman"/>
          <w:kern w:val="0"/>
          <w:sz w:val="32"/>
          <w:szCs w:val="32"/>
        </w:rPr>
      </w:pPr>
      <w:r>
        <w:rPr>
          <w:rFonts w:hint="eastAsia" w:ascii="仿宋_GB2312" w:hAnsi="Calibri" w:eastAsia="仿宋_GB2312" w:cs="黑体"/>
          <w:sz w:val="32"/>
          <w:szCs w:val="32"/>
        </w:rPr>
        <w:t>投标方</w:t>
      </w:r>
      <w:r>
        <w:rPr>
          <w:rFonts w:hint="eastAsia" w:ascii="仿宋_GB2312" w:hAnsi="宋体" w:eastAsia="仿宋_GB2312" w:cs="Times New Roman"/>
          <w:kern w:val="0"/>
          <w:sz w:val="32"/>
          <w:szCs w:val="32"/>
        </w:rPr>
        <w:t>每日上午8:00至晚上20:00，如有临时调整，以招标方通知为准。</w:t>
      </w:r>
    </w:p>
    <w:p>
      <w:pPr>
        <w:widowControl w:val="0"/>
        <w:spacing w:line="560" w:lineRule="exact"/>
        <w:ind w:left="0" w:firstLine="643" w:firstLineChars="200"/>
        <w:jc w:val="both"/>
        <w:rPr>
          <w:rFonts w:ascii="楷体_GB2312" w:hAnsi="黑体" w:eastAsia="楷体_GB2312" w:cs="宋体"/>
          <w:b/>
          <w:kern w:val="0"/>
          <w:sz w:val="32"/>
          <w:szCs w:val="32"/>
          <w:u w:val="none" w:color="000000"/>
          <w:lang w:val="en-US" w:eastAsia="zh-CN" w:bidi="ar-SA"/>
        </w:rPr>
      </w:pPr>
      <w:r>
        <w:rPr>
          <w:rFonts w:hint="eastAsia" w:ascii="楷体_GB2312" w:hAnsi="黑体" w:eastAsia="楷体_GB2312" w:cs="宋体"/>
          <w:b/>
          <w:kern w:val="0"/>
          <w:sz w:val="32"/>
          <w:szCs w:val="32"/>
          <w:u w:val="none" w:color="000000"/>
          <w:lang w:val="en-US" w:eastAsia="zh-CN" w:bidi="ar-SA"/>
        </w:rPr>
        <w:t>（四）服务要求</w:t>
      </w:r>
    </w:p>
    <w:p>
      <w:pPr>
        <w:spacing w:line="560" w:lineRule="exact"/>
        <w:ind w:firstLine="646" w:firstLineChars="202"/>
        <w:rPr>
          <w:rFonts w:hint="eastAsia" w:ascii="仿宋_GB2312" w:hAnsi="宋体" w:eastAsia="仿宋_GB2312" w:cs="Times New Roman"/>
          <w:kern w:val="0"/>
          <w:sz w:val="32"/>
          <w:szCs w:val="32"/>
          <w:highlight w:val="none"/>
          <w:lang w:eastAsia="zh-CN"/>
        </w:rPr>
      </w:pPr>
      <w:r>
        <w:rPr>
          <w:rFonts w:hint="eastAsia" w:ascii="仿宋_GB2312" w:hAnsi="Calibri" w:eastAsia="仿宋_GB2312" w:cs="黑体"/>
          <w:sz w:val="32"/>
          <w:szCs w:val="32"/>
          <w:highlight w:val="none"/>
        </w:rPr>
        <w:t>投标方</w:t>
      </w:r>
      <w:r>
        <w:rPr>
          <w:rFonts w:hint="eastAsia" w:ascii="仿宋_GB2312" w:hAnsi="宋体" w:eastAsia="仿宋_GB2312" w:cs="Times New Roman"/>
          <w:kern w:val="0"/>
          <w:sz w:val="32"/>
          <w:szCs w:val="32"/>
          <w:highlight w:val="none"/>
        </w:rPr>
        <w:t>必须以自主经营、不转包方式开展项目</w:t>
      </w:r>
      <w:r>
        <w:rPr>
          <w:rFonts w:hint="eastAsia" w:ascii="仿宋_GB2312" w:hAnsi="宋体" w:eastAsia="仿宋_GB2312" w:cs="Times New Roman"/>
          <w:kern w:val="0"/>
          <w:sz w:val="32"/>
          <w:szCs w:val="32"/>
          <w:highlight w:val="none"/>
          <w:lang w:eastAsia="zh-CN"/>
        </w:rPr>
        <w:t>；能够妥善处理与顺丰、京东、四通一达等主要快递企业的关系，确保相关快件入库存放、即到即取，不得因费用等原因与快递企业产生纠纷、导致快递企业将快件撤出取件点外自行派送。若出现此情形，第一次必须在7日内妥善解决，恢复正常服务；若无法按期解决或重复出现此情形，学院将视情节轻重处以每次</w:t>
      </w:r>
      <w:r>
        <w:rPr>
          <w:rFonts w:hint="eastAsia" w:ascii="仿宋_GB2312" w:hAnsi="宋体" w:eastAsia="仿宋_GB2312" w:cs="Times New Roman"/>
          <w:kern w:val="0"/>
          <w:sz w:val="32"/>
          <w:szCs w:val="32"/>
          <w:highlight w:val="none"/>
          <w:lang w:val="en-US" w:eastAsia="zh-CN"/>
        </w:rPr>
        <w:t>2000</w:t>
      </w:r>
      <w:r>
        <w:rPr>
          <w:rFonts w:hint="eastAsia" w:ascii="仿宋_GB2312" w:hAnsi="宋体" w:eastAsia="仿宋_GB2312" w:cs="Times New Roman"/>
          <w:kern w:val="0"/>
          <w:sz w:val="32"/>
          <w:szCs w:val="32"/>
          <w:highlight w:val="none"/>
          <w:lang w:eastAsia="zh-CN"/>
        </w:rPr>
        <w:t>-5000元处罚；出现两次以上的，学院有权单方面解除合同。</w:t>
      </w:r>
    </w:p>
    <w:p>
      <w:pPr>
        <w:widowControl w:val="0"/>
        <w:spacing w:line="560" w:lineRule="exact"/>
        <w:ind w:left="0" w:firstLine="643" w:firstLineChars="200"/>
        <w:jc w:val="both"/>
        <w:rPr>
          <w:rFonts w:ascii="楷体_GB2312" w:hAnsi="黑体" w:eastAsia="楷体_GB2312" w:cs="宋体"/>
          <w:b/>
          <w:kern w:val="0"/>
          <w:sz w:val="32"/>
          <w:szCs w:val="32"/>
          <w:u w:val="none" w:color="000000"/>
          <w:lang w:val="en-US" w:eastAsia="zh-CN" w:bidi="ar-SA"/>
        </w:rPr>
      </w:pPr>
      <w:r>
        <w:rPr>
          <w:rFonts w:hint="eastAsia" w:ascii="楷体_GB2312" w:hAnsi="黑体" w:eastAsia="楷体_GB2312" w:cs="宋体"/>
          <w:b/>
          <w:kern w:val="0"/>
          <w:sz w:val="32"/>
          <w:szCs w:val="32"/>
          <w:u w:val="none" w:color="000000"/>
          <w:lang w:val="en-US" w:eastAsia="zh-CN" w:bidi="ar-SA"/>
        </w:rPr>
        <w:t>（五）优惠服务</w:t>
      </w:r>
    </w:p>
    <w:p>
      <w:pPr>
        <w:spacing w:line="560" w:lineRule="exact"/>
        <w:ind w:firstLine="646" w:firstLineChars="202"/>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投标方需向学院内部人员提供优质优惠服务。经营前，需将经营项目价格报服务保障中心审核，审定后，在店面明显位置进行价格公示，必须严格按照标准执行，且严禁擅自更改或调整价格。</w:t>
      </w:r>
    </w:p>
    <w:tbl>
      <w:tblPr>
        <w:tblStyle w:val="6"/>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76"/>
        <w:gridCol w:w="2977"/>
        <w:gridCol w:w="1418"/>
        <w:gridCol w:w="1408"/>
        <w:gridCol w:w="128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序号</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快递</w:t>
            </w:r>
          </w:p>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类别</w:t>
            </w: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邮寄地</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楷体_GB2312" w:hAnsi="Times New Roman" w:eastAsia="楷体_GB2312" w:cs="Times New Roman"/>
                <w:b/>
                <w:sz w:val="32"/>
                <w:szCs w:val="32"/>
              </w:rPr>
            </w:pPr>
            <w:r>
              <w:rPr>
                <w:rFonts w:hint="eastAsia" w:ascii="楷体_GB2312" w:hAnsi="Calibri" w:eastAsia="楷体_GB2312" w:cs="黑体"/>
                <w:b/>
                <w:sz w:val="32"/>
                <w:szCs w:val="32"/>
              </w:rPr>
              <w:t>首重</w:t>
            </w:r>
          </w:p>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标准</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续重</w:t>
            </w:r>
          </w:p>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标准</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楷体_GB2312" w:hAnsi="Times New Roman" w:eastAsia="楷体_GB2312" w:cs="Times New Roman"/>
                <w:b/>
                <w:sz w:val="32"/>
                <w:szCs w:val="32"/>
              </w:rPr>
            </w:pPr>
            <w:r>
              <w:rPr>
                <w:rFonts w:hint="eastAsia" w:ascii="楷体_GB2312" w:hAnsi="Calibri" w:eastAsia="楷体_GB2312" w:cs="黑体"/>
                <w:b/>
                <w:sz w:val="32"/>
                <w:szCs w:val="32"/>
              </w:rPr>
              <w:t>总 价</w:t>
            </w:r>
          </w:p>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优惠率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楷体_GB2312" w:hAnsi="Calibri" w:eastAsia="楷体_GB2312" w:cs="Times New Roman"/>
                <w:b/>
                <w:sz w:val="32"/>
                <w:szCs w:val="32"/>
              </w:rPr>
            </w:pPr>
            <w:r>
              <w:rPr>
                <w:rFonts w:hint="eastAsia" w:ascii="楷体_GB2312" w:hAnsi="Calibri" w:eastAsia="楷体_GB2312" w:cs="黑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w:t>
            </w:r>
          </w:p>
        </w:tc>
        <w:tc>
          <w:tcPr>
            <w:tcW w:w="1276" w:type="dxa"/>
            <w:vMerge w:val="restart"/>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顺丰</w:t>
            </w: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合肥市</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11元/kg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2元/kg</w:t>
            </w:r>
          </w:p>
        </w:tc>
        <w:tc>
          <w:tcPr>
            <w:tcW w:w="1285" w:type="dxa"/>
            <w:vMerge w:val="restart"/>
            <w:tcBorders>
              <w:top w:val="single" w:color="000000" w:sz="4" w:space="0"/>
              <w:left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p>
        </w:tc>
        <w:tc>
          <w:tcPr>
            <w:tcW w:w="967"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确保所有邮寄包裹能到达全国各个地方，且无损坏。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安徽</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12元/kg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江苏、浙江、上海</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14元/kg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江西、湖北、河南</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22元/kg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8元/kg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新疆、西藏</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26元/kg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21元/kg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其余省份</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23元/kg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13元/kg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w:t>
            </w:r>
          </w:p>
        </w:tc>
        <w:tc>
          <w:tcPr>
            <w:tcW w:w="1276" w:type="dxa"/>
            <w:vMerge w:val="restart"/>
            <w:tcBorders>
              <w:top w:val="single" w:color="000000" w:sz="4" w:space="0"/>
              <w:left w:val="single" w:color="000000" w:sz="4" w:space="0"/>
              <w:bottom w:val="single" w:color="auto"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四通一达（圆通、申通、中通、百世汇通、韵达）等</w:t>
            </w: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合肥市</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8元/kg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1276"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安徽、江苏、</w:t>
            </w:r>
          </w:p>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浙江、上海</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10元/kg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left"/>
              <w:rPr>
                <w:rFonts w:ascii="Calibri" w:hAnsi="Calibri" w:eastAsia="宋体" w:cs="黑体"/>
              </w:rPr>
            </w:pPr>
          </w:p>
        </w:tc>
        <w:tc>
          <w:tcPr>
            <w:tcW w:w="1276"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北京、天津、湖南、湖北、河南、河北、广东、福建、山东、江西、海南</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12元kg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9元/kg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Calibri" w:hAnsi="Calibri" w:eastAsia="宋体" w:cs="黑体"/>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left"/>
              <w:rPr>
                <w:rFonts w:ascii="Calibri" w:hAnsi="Calibri" w:eastAsia="宋体" w:cs="黑体"/>
              </w:rPr>
            </w:pPr>
          </w:p>
        </w:tc>
        <w:tc>
          <w:tcPr>
            <w:tcW w:w="1276"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广西、山西、陕西、四川、重庆</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14元/kg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12元/kg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Calibri" w:hAnsi="Calibri" w:eastAsia="宋体" w:cs="黑体"/>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left"/>
              <w:rPr>
                <w:rFonts w:ascii="Calibri" w:hAnsi="Calibri" w:eastAsia="宋体" w:cs="黑体"/>
              </w:rPr>
            </w:pPr>
          </w:p>
        </w:tc>
        <w:tc>
          <w:tcPr>
            <w:tcW w:w="1276"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黑龙江、吉林、辽宁、云南、贵州、青海、宁夏、甘肃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16元/kg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14元/kg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Calibri" w:hAnsi="Calibri" w:eastAsia="宋体" w:cs="黑体"/>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Calibri" w:hAnsi="Calibri" w:eastAsia="宋体" w:cs="黑体"/>
              </w:rPr>
            </w:pPr>
          </w:p>
        </w:tc>
        <w:tc>
          <w:tcPr>
            <w:tcW w:w="127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40" w:lineRule="exact"/>
              <w:jc w:val="left"/>
              <w:rPr>
                <w:rFonts w:ascii="仿宋_GB2312" w:hAnsi="Calibri" w:eastAsia="仿宋_GB2312" w:cs="Times New Roman"/>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西藏、新疆、内蒙古</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20元/kg</w:t>
            </w:r>
          </w:p>
        </w:tc>
        <w:tc>
          <w:tcPr>
            <w:tcW w:w="1408"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Times New Roman"/>
                <w:sz w:val="32"/>
                <w:szCs w:val="32"/>
              </w:rPr>
            </w:pPr>
            <w:r>
              <w:rPr>
                <w:rFonts w:hint="eastAsia" w:ascii="仿宋_GB2312" w:hAnsi="Calibri" w:eastAsia="仿宋_GB2312" w:cs="黑体"/>
                <w:sz w:val="32"/>
                <w:szCs w:val="32"/>
              </w:rPr>
              <w:t>18元/kg</w:t>
            </w:r>
          </w:p>
        </w:tc>
        <w:tc>
          <w:tcPr>
            <w:tcW w:w="1285" w:type="dxa"/>
            <w:vMerge w:val="continue"/>
            <w:tcBorders>
              <w:left w:val="single" w:color="000000" w:sz="4" w:space="0"/>
              <w:right w:val="single" w:color="000000" w:sz="4" w:space="0"/>
            </w:tcBorders>
            <w:noWrap w:val="0"/>
            <w:vAlign w:val="center"/>
          </w:tcPr>
          <w:p>
            <w:pPr>
              <w:widowControl/>
              <w:spacing w:line="440" w:lineRule="exact"/>
              <w:jc w:val="left"/>
              <w:rPr>
                <w:rFonts w:ascii="Calibri" w:hAnsi="Calibri" w:eastAsia="宋体" w:cs="黑体"/>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restart"/>
            <w:tcBorders>
              <w:top w:val="single" w:color="000000" w:sz="4" w:space="0"/>
              <w:left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黑体"/>
                <w:sz w:val="32"/>
                <w:szCs w:val="32"/>
              </w:rPr>
            </w:pPr>
            <w:r>
              <w:rPr>
                <w:rFonts w:hint="eastAsia" w:ascii="仿宋_GB2312" w:hAnsi="Calibri" w:eastAsia="仿宋_GB2312" w:cs="黑体"/>
                <w:sz w:val="32"/>
                <w:szCs w:val="32"/>
              </w:rPr>
              <w:t>3</w:t>
            </w:r>
          </w:p>
        </w:tc>
        <w:tc>
          <w:tcPr>
            <w:tcW w:w="1276" w:type="dxa"/>
            <w:vMerge w:val="restart"/>
            <w:tcBorders>
              <w:top w:val="single" w:color="000000" w:sz="4" w:space="0"/>
              <w:left w:val="single" w:color="000000" w:sz="4" w:space="0"/>
              <w:right w:val="single" w:color="auto" w:sz="4" w:space="0"/>
            </w:tcBorders>
            <w:noWrap w:val="0"/>
            <w:vAlign w:val="center"/>
          </w:tcPr>
          <w:p>
            <w:pPr>
              <w:tabs>
                <w:tab w:val="left" w:pos="360"/>
              </w:tabs>
              <w:spacing w:line="440" w:lineRule="exact"/>
              <w:jc w:val="center"/>
              <w:rPr>
                <w:rFonts w:ascii="仿宋_GB2312" w:hAnsi="Calibri" w:eastAsia="仿宋_GB2312" w:cs="黑体"/>
                <w:sz w:val="32"/>
                <w:szCs w:val="32"/>
              </w:rPr>
            </w:pPr>
            <w:r>
              <w:rPr>
                <w:rFonts w:hint="eastAsia" w:ascii="仿宋_GB2312" w:hAnsi="Calibri" w:eastAsia="仿宋_GB2312" w:cs="黑体"/>
                <w:sz w:val="32"/>
                <w:szCs w:val="32"/>
              </w:rPr>
              <w:t>快递包装盒</w:t>
            </w: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hint="eastAsia" w:ascii="仿宋_GB2312" w:hAnsi="Calibri" w:eastAsia="仿宋_GB2312" w:cs="黑体"/>
                <w:sz w:val="32"/>
                <w:szCs w:val="32"/>
              </w:rPr>
            </w:pPr>
            <w:r>
              <w:rPr>
                <w:rFonts w:hint="eastAsia" w:ascii="仿宋_GB2312" w:hAnsi="Calibri" w:eastAsia="仿宋_GB2312" w:cs="黑体"/>
                <w:sz w:val="32"/>
                <w:szCs w:val="32"/>
              </w:rPr>
              <w:t>1#—4#</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hint="eastAsia" w:ascii="仿宋_GB2312" w:hAnsi="Calibri" w:eastAsia="仿宋_GB2312" w:cs="黑体"/>
                <w:sz w:val="32"/>
                <w:szCs w:val="32"/>
              </w:rPr>
            </w:pPr>
            <w:r>
              <w:rPr>
                <w:rFonts w:hint="eastAsia" w:ascii="仿宋_GB2312" w:hAnsi="Calibri" w:eastAsia="仿宋_GB2312" w:cs="黑体"/>
                <w:sz w:val="32"/>
                <w:szCs w:val="32"/>
              </w:rPr>
              <w:t>10元/个</w:t>
            </w:r>
          </w:p>
        </w:tc>
        <w:tc>
          <w:tcPr>
            <w:tcW w:w="1285" w:type="dxa"/>
            <w:vMerge w:val="continue"/>
            <w:tcBorders>
              <w:left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黑体"/>
                <w:sz w:val="32"/>
                <w:szCs w:val="32"/>
              </w:rPr>
            </w:pPr>
          </w:p>
        </w:tc>
        <w:tc>
          <w:tcPr>
            <w:tcW w:w="967" w:type="dxa"/>
            <w:vMerge w:val="restart"/>
            <w:tcBorders>
              <w:top w:val="single" w:color="000000" w:sz="4" w:space="0"/>
              <w:left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黑体"/>
                <w:sz w:val="32"/>
                <w:szCs w:val="32"/>
              </w:rPr>
            </w:pPr>
            <w:r>
              <w:rPr>
                <w:rFonts w:hint="eastAsia" w:ascii="仿宋_GB2312" w:hAnsi="Calibri" w:eastAsia="仿宋_GB2312" w:cs="黑体"/>
                <w:sz w:val="32"/>
                <w:szCs w:val="32"/>
              </w:rPr>
              <w:t>盒子完好无损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vMerge w:val="continue"/>
            <w:tcBorders>
              <w:left w:val="single" w:color="000000" w:sz="4" w:space="0"/>
              <w:bottom w:val="single" w:color="auto" w:sz="4" w:space="0"/>
              <w:right w:val="single" w:color="000000" w:sz="4" w:space="0"/>
            </w:tcBorders>
            <w:noWrap w:val="0"/>
            <w:vAlign w:val="center"/>
          </w:tcPr>
          <w:p>
            <w:pPr>
              <w:tabs>
                <w:tab w:val="left" w:pos="360"/>
              </w:tabs>
              <w:spacing w:line="440" w:lineRule="exact"/>
              <w:jc w:val="center"/>
              <w:rPr>
                <w:rFonts w:hint="eastAsia" w:ascii="仿宋_GB2312" w:hAnsi="Calibri" w:eastAsia="仿宋_GB2312" w:cs="黑体"/>
                <w:sz w:val="32"/>
                <w:szCs w:val="32"/>
              </w:rPr>
            </w:pPr>
          </w:p>
        </w:tc>
        <w:tc>
          <w:tcPr>
            <w:tcW w:w="1276" w:type="dxa"/>
            <w:vMerge w:val="continue"/>
            <w:tcBorders>
              <w:left w:val="single" w:color="000000" w:sz="4" w:space="0"/>
              <w:bottom w:val="single" w:color="auto" w:sz="4" w:space="0"/>
              <w:right w:val="single" w:color="auto" w:sz="4" w:space="0"/>
            </w:tcBorders>
            <w:noWrap w:val="0"/>
            <w:vAlign w:val="center"/>
          </w:tcPr>
          <w:p>
            <w:pPr>
              <w:tabs>
                <w:tab w:val="left" w:pos="360"/>
              </w:tabs>
              <w:spacing w:line="440" w:lineRule="exact"/>
              <w:jc w:val="center"/>
              <w:rPr>
                <w:rFonts w:ascii="仿宋_GB2312" w:hAnsi="Calibri" w:eastAsia="仿宋_GB2312" w:cs="黑体"/>
                <w:sz w:val="32"/>
                <w:szCs w:val="32"/>
              </w:rPr>
            </w:pPr>
          </w:p>
        </w:tc>
        <w:tc>
          <w:tcPr>
            <w:tcW w:w="2977" w:type="dxa"/>
            <w:tcBorders>
              <w:top w:val="single" w:color="000000" w:sz="4" w:space="0"/>
              <w:left w:val="single" w:color="auto" w:sz="4" w:space="0"/>
              <w:bottom w:val="single" w:color="000000" w:sz="4" w:space="0"/>
              <w:right w:val="single" w:color="000000" w:sz="4" w:space="0"/>
            </w:tcBorders>
            <w:noWrap w:val="0"/>
            <w:vAlign w:val="center"/>
          </w:tcPr>
          <w:p>
            <w:pPr>
              <w:tabs>
                <w:tab w:val="left" w:pos="360"/>
              </w:tabs>
              <w:spacing w:line="440" w:lineRule="exact"/>
              <w:jc w:val="center"/>
              <w:rPr>
                <w:rFonts w:hint="eastAsia" w:ascii="仿宋_GB2312" w:hAnsi="Calibri" w:eastAsia="仿宋_GB2312" w:cs="黑体"/>
                <w:sz w:val="32"/>
                <w:szCs w:val="32"/>
              </w:rPr>
            </w:pPr>
            <w:r>
              <w:rPr>
                <w:rFonts w:hint="eastAsia" w:ascii="仿宋_GB2312" w:hAnsi="Calibri" w:eastAsia="仿宋_GB2312" w:cs="黑体"/>
                <w:sz w:val="32"/>
                <w:szCs w:val="32"/>
              </w:rPr>
              <w:t>5#—8#</w:t>
            </w:r>
          </w:p>
        </w:tc>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hint="eastAsia" w:ascii="仿宋_GB2312" w:hAnsi="Calibri" w:eastAsia="仿宋_GB2312" w:cs="黑体"/>
                <w:sz w:val="32"/>
                <w:szCs w:val="32"/>
              </w:rPr>
            </w:pPr>
            <w:r>
              <w:rPr>
                <w:rFonts w:hint="eastAsia" w:ascii="仿宋_GB2312" w:hAnsi="Calibri" w:eastAsia="仿宋_GB2312" w:cs="黑体"/>
                <w:sz w:val="32"/>
                <w:szCs w:val="32"/>
              </w:rPr>
              <w:t>6元/个</w:t>
            </w:r>
          </w:p>
        </w:tc>
        <w:tc>
          <w:tcPr>
            <w:tcW w:w="1285" w:type="dxa"/>
            <w:vMerge w:val="continue"/>
            <w:tcBorders>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黑体"/>
                <w:sz w:val="32"/>
                <w:szCs w:val="32"/>
              </w:rPr>
            </w:pPr>
          </w:p>
        </w:tc>
        <w:tc>
          <w:tcPr>
            <w:tcW w:w="967" w:type="dxa"/>
            <w:vMerge w:val="continue"/>
            <w:tcBorders>
              <w:left w:val="single" w:color="000000" w:sz="4" w:space="0"/>
              <w:bottom w:val="single" w:color="000000" w:sz="4" w:space="0"/>
              <w:right w:val="single" w:color="000000" w:sz="4" w:space="0"/>
            </w:tcBorders>
            <w:noWrap w:val="0"/>
            <w:vAlign w:val="center"/>
          </w:tcPr>
          <w:p>
            <w:pPr>
              <w:tabs>
                <w:tab w:val="left" w:pos="360"/>
              </w:tabs>
              <w:spacing w:line="440" w:lineRule="exact"/>
              <w:jc w:val="center"/>
              <w:rPr>
                <w:rFonts w:ascii="仿宋_GB2312" w:hAnsi="Calibri" w:eastAsia="仿宋_GB2312" w:cs="黑体"/>
                <w:sz w:val="32"/>
                <w:szCs w:val="32"/>
              </w:rPr>
            </w:pPr>
          </w:p>
        </w:tc>
      </w:tr>
    </w:tbl>
    <w:p>
      <w:pPr>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、供应商资格条件要求</w:t>
      </w:r>
    </w:p>
    <w:p>
      <w:pPr>
        <w:spacing w:line="579"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供应商资格条件要求：具有邮政管理部门颁发的有效期内的《快递业务经营许可证》或获得持有《快递业务经营许可证》的公司授权（提供资质证书复印件，投标人若为被授权单位参与本项目投标，则须提供授权证明材料并附授权单位资质证书复印件）</w:t>
      </w:r>
    </w:p>
    <w:p>
      <w:pPr>
        <w:spacing w:line="579"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、主要商务要求</w:t>
      </w:r>
    </w:p>
    <w:p>
      <w:pPr>
        <w:spacing w:line="560" w:lineRule="exact"/>
        <w:ind w:firstLine="640"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（一）服务期</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服务期暂定</w:t>
      </w:r>
      <w:r>
        <w:rPr>
          <w:rFonts w:hint="eastAsia" w:ascii="仿宋_GB2312" w:hAnsi="宋体" w:eastAsia="仿宋_GB2312" w:cs="Times New Roman"/>
          <w:kern w:val="0"/>
          <w:sz w:val="32"/>
          <w:szCs w:val="32"/>
          <w:lang w:eastAsia="zh-CN"/>
        </w:rPr>
        <w:t>两年</w:t>
      </w:r>
      <w:r>
        <w:rPr>
          <w:rFonts w:hint="eastAsia" w:ascii="仿宋_GB2312" w:hAnsi="宋体" w:eastAsia="仿宋_GB2312" w:cs="Times New Roman"/>
          <w:kern w:val="0"/>
          <w:sz w:val="32"/>
          <w:szCs w:val="32"/>
        </w:rPr>
        <w:t>，但合同签订采取一年一签的方式，其中首次合同期为202</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val="en-US" w:eastAsia="zh-CN"/>
        </w:rPr>
        <w:t>10</w:t>
      </w:r>
      <w:r>
        <w:rPr>
          <w:rFonts w:hint="eastAsia" w:ascii="仿宋_GB2312" w:hAnsi="宋体" w:eastAsia="仿宋_GB2312" w:cs="Times New Roman"/>
          <w:kern w:val="0"/>
          <w:sz w:val="32"/>
          <w:szCs w:val="32"/>
        </w:rPr>
        <w:t>月底（具体开始时间以中标公告通知时间为准）至202</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val="en-US" w:eastAsia="zh-CN"/>
        </w:rPr>
        <w:t>10</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lang w:val="en-US" w:eastAsia="zh-CN"/>
        </w:rPr>
        <w:t>20</w:t>
      </w:r>
      <w:r>
        <w:rPr>
          <w:rFonts w:hint="eastAsia" w:ascii="仿宋_GB2312" w:hAnsi="宋体" w:eastAsia="仿宋_GB2312" w:cs="Times New Roman"/>
          <w:kern w:val="0"/>
          <w:sz w:val="32"/>
          <w:szCs w:val="32"/>
        </w:rPr>
        <w:t>日，续签合同期为202</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年1</w:t>
      </w:r>
      <w:r>
        <w:rPr>
          <w:rFonts w:hint="eastAsia" w:ascii="仿宋_GB2312" w:hAnsi="宋体" w:eastAsia="仿宋_GB2312" w:cs="Times New Roman"/>
          <w:kern w:val="0"/>
          <w:sz w:val="32"/>
          <w:szCs w:val="32"/>
          <w:lang w:val="en-US" w:eastAsia="zh-CN"/>
        </w:rPr>
        <w:t>0</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1日至202</w:t>
      </w:r>
      <w:r>
        <w:rPr>
          <w:rFonts w:hint="eastAsia" w:ascii="仿宋_GB2312" w:hAnsi="宋体" w:eastAsia="仿宋_GB2312" w:cs="Times New Roman"/>
          <w:kern w:val="0"/>
          <w:sz w:val="32"/>
          <w:szCs w:val="32"/>
          <w:lang w:val="en-US" w:eastAsia="zh-CN"/>
        </w:rPr>
        <w:t>4</w:t>
      </w:r>
      <w:r>
        <w:rPr>
          <w:rFonts w:hint="eastAsia" w:ascii="仿宋_GB2312" w:hAnsi="宋体" w:eastAsia="仿宋_GB2312" w:cs="Times New Roman"/>
          <w:kern w:val="0"/>
          <w:sz w:val="32"/>
          <w:szCs w:val="32"/>
        </w:rPr>
        <w:t>年1</w:t>
      </w:r>
      <w:r>
        <w:rPr>
          <w:rFonts w:hint="eastAsia" w:ascii="仿宋_GB2312" w:hAnsi="宋体" w:eastAsia="仿宋_GB2312" w:cs="Times New Roman"/>
          <w:kern w:val="0"/>
          <w:sz w:val="32"/>
          <w:szCs w:val="32"/>
          <w:lang w:val="en-US" w:eastAsia="zh-CN"/>
        </w:rPr>
        <w:t>0</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lang w:val="en-US" w:eastAsia="zh-CN"/>
        </w:rPr>
        <w:t>20</w:t>
      </w:r>
      <w:r>
        <w:rPr>
          <w:rFonts w:hint="eastAsia" w:ascii="仿宋_GB2312" w:hAnsi="宋体" w:eastAsia="仿宋_GB2312" w:cs="Times New Roman"/>
          <w:kern w:val="0"/>
          <w:sz w:val="32"/>
          <w:szCs w:val="32"/>
        </w:rPr>
        <w:t>日（若在续签合同前，上级下发关于营区保障社会化项目通知要求，则停止续签合同，投标方自动撤场；若在续签合同后，上级下发关于营区保障社会化项目通知要求，续签合同期以上级通知要求期限为准，投标方按期限自动撤场）。在服务期内，严格按照招标文件的要求及行业相关要求提供服务。</w:t>
      </w:r>
    </w:p>
    <w:p>
      <w:pPr>
        <w:spacing w:line="560" w:lineRule="exact"/>
        <w:ind w:firstLine="640"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（二）服务地点</w:t>
      </w:r>
    </w:p>
    <w:p>
      <w:pPr>
        <w:widowControl w:val="0"/>
        <w:spacing w:line="560" w:lineRule="exact"/>
        <w:ind w:left="0" w:firstLine="640" w:firstLineChars="200"/>
        <w:jc w:val="both"/>
        <w:rPr>
          <w:rFonts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东校区位于安徽省合肥市蜀山区东至路5号院内（教学区营业点设立在原兴业银行营业处，家属区营业点设立在东门传达室南侧第三个房间）；西校区位于安徽省合肥市蜀山区大别山路888号院内（西区食堂西侧第三个房间）。</w:t>
      </w:r>
    </w:p>
    <w:p>
      <w:pPr>
        <w:spacing w:line="560" w:lineRule="exac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    （</w:t>
      </w:r>
      <w:r>
        <w:rPr>
          <w:rFonts w:hint="eastAsia" w:ascii="仿宋_GB2312" w:hAnsi="宋体" w:eastAsia="仿宋_GB2312" w:cs="Times New Roman"/>
          <w:kern w:val="0"/>
          <w:sz w:val="32"/>
          <w:szCs w:val="32"/>
          <w:lang w:eastAsia="zh-CN"/>
        </w:rPr>
        <w:t>三</w:t>
      </w:r>
      <w:r>
        <w:rPr>
          <w:rFonts w:hint="eastAsia" w:ascii="仿宋_GB2312" w:hAnsi="宋体" w:eastAsia="仿宋_GB2312" w:cs="Times New Roman"/>
          <w:kern w:val="0"/>
          <w:sz w:val="32"/>
          <w:szCs w:val="32"/>
        </w:rPr>
        <w:t>）经营管理</w:t>
      </w:r>
    </w:p>
    <w:p>
      <w:pPr>
        <w:tabs>
          <w:tab w:val="left" w:pos="3540"/>
          <w:tab w:val="left" w:pos="3780"/>
          <w:tab w:val="left" w:pos="4200"/>
          <w:tab w:val="left" w:pos="4620"/>
          <w:tab w:val="left" w:pos="5040"/>
          <w:tab w:val="left" w:pos="5460"/>
          <w:tab w:val="left" w:pos="5880"/>
          <w:tab w:val="left" w:pos="6300"/>
          <w:tab w:val="left" w:pos="6720"/>
          <w:tab w:val="left" w:pos="7140"/>
          <w:tab w:val="right" w:pos="8312"/>
        </w:tabs>
        <w:spacing w:line="560" w:lineRule="exact"/>
        <w:ind w:firstLine="640" w:firstLineChars="200"/>
        <w:rPr>
          <w:rFonts w:ascii="仿宋_GB2312" w:hAnsi="Calibri" w:eastAsia="仿宋_GB2312" w:cs="黑体"/>
          <w:sz w:val="32"/>
          <w:szCs w:val="32"/>
        </w:rPr>
      </w:pPr>
      <w:r>
        <w:rPr>
          <w:rFonts w:hint="eastAsia" w:ascii="仿宋_GB2312" w:hAnsi="华文楷体" w:eastAsia="仿宋_GB2312" w:cs="黑体"/>
          <w:sz w:val="32"/>
          <w:szCs w:val="32"/>
        </w:rPr>
        <w:t>1.</w:t>
      </w:r>
      <w:r>
        <w:rPr>
          <w:rFonts w:hint="eastAsia" w:ascii="仿宋_GB2312" w:hAnsi="Calibri" w:eastAsia="仿宋_GB2312" w:cs="黑体"/>
          <w:sz w:val="32"/>
          <w:szCs w:val="32"/>
        </w:rPr>
        <w:t xml:space="preserve"> 投标方不得擅自改变快递经营范围，不得将快递点项目转包给他人经营。</w:t>
      </w:r>
      <w:r>
        <w:rPr>
          <w:rFonts w:hint="eastAsia" w:ascii="仿宋_GB2312" w:hAnsi="华文楷体" w:eastAsia="仿宋_GB2312" w:cs="黑体"/>
          <w:sz w:val="32"/>
          <w:szCs w:val="32"/>
        </w:rPr>
        <w:t>否则，除立即解除合同外，</w:t>
      </w:r>
      <w:r>
        <w:rPr>
          <w:rFonts w:hint="eastAsia" w:ascii="仿宋_GB2312" w:hAnsi="Calibri" w:eastAsia="仿宋_GB2312" w:cs="黑体"/>
          <w:sz w:val="32"/>
          <w:szCs w:val="32"/>
        </w:rPr>
        <w:t>向学院支付违约金10万元。</w:t>
      </w:r>
    </w:p>
    <w:p>
      <w:pPr>
        <w:spacing w:line="560" w:lineRule="exact"/>
        <w:ind w:firstLine="640" w:firstLineChars="200"/>
        <w:rPr>
          <w:rFonts w:ascii="仿宋_GB2312" w:hAnsi="Calibri" w:eastAsia="仿宋_GB2312" w:cs="黑体"/>
          <w:sz w:val="32"/>
          <w:szCs w:val="32"/>
        </w:rPr>
      </w:pPr>
      <w:r>
        <w:rPr>
          <w:rFonts w:hint="eastAsia" w:ascii="仿宋_GB2312" w:hAnsi="华文楷体" w:eastAsia="仿宋_GB2312" w:cs="黑体"/>
          <w:sz w:val="32"/>
          <w:szCs w:val="32"/>
        </w:rPr>
        <w:t>2.</w:t>
      </w:r>
      <w:r>
        <w:rPr>
          <w:rFonts w:hint="eastAsia" w:ascii="仿宋_GB2312" w:hAnsi="Calibri" w:eastAsia="仿宋_GB2312" w:cs="黑体"/>
          <w:sz w:val="32"/>
          <w:szCs w:val="32"/>
        </w:rPr>
        <w:t>在承包合同经营期限内，投标方必须服从学院服务保障中心管理及监管（经营价格、服务范围、价格优惠率等全方位监控），实行单方独立经营，按照自主经营、自负盈亏的模式进行服务保障，</w:t>
      </w:r>
      <w:r>
        <w:rPr>
          <w:rFonts w:hint="eastAsia" w:ascii="仿宋_GB2312" w:hAnsi="Calibri" w:eastAsia="仿宋_GB2312" w:cs="黑体"/>
          <w:b/>
          <w:sz w:val="32"/>
          <w:szCs w:val="32"/>
        </w:rPr>
        <w:t>经营期间不收取房屋设施和场地使用管理费，但水电费按水电表数目每月定期付费。</w:t>
      </w:r>
      <w:r>
        <w:rPr>
          <w:rFonts w:hint="eastAsia" w:ascii="仿宋_GB2312" w:hAnsi="Calibri" w:eastAsia="仿宋_GB2312" w:cs="黑体"/>
          <w:sz w:val="32"/>
          <w:szCs w:val="32"/>
        </w:rPr>
        <w:t>同时，安排的服务员工需提供无犯罪证明和健康证（每年提供一次），并在学院备案。</w:t>
      </w:r>
    </w:p>
    <w:p>
      <w:pPr>
        <w:widowControl/>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3.合同期结束后，投标方在</w:t>
      </w:r>
      <w:r>
        <w:rPr>
          <w:rFonts w:hint="eastAsia" w:ascii="仿宋_GB2312" w:hAnsi="华文楷体" w:eastAsia="仿宋_GB2312" w:cs="黑体"/>
          <w:sz w:val="32"/>
          <w:szCs w:val="32"/>
        </w:rPr>
        <w:t>保证所有场地设施设备完好，并已完全承担全部经济与法律责任（如经济、劳工、合约纠纷、赔偿责任等）的基础上，</w:t>
      </w:r>
      <w:r>
        <w:rPr>
          <w:rFonts w:hint="eastAsia" w:ascii="仿宋_GB2312" w:hAnsi="Calibri" w:eastAsia="仿宋_GB2312" w:cs="黑体"/>
          <w:sz w:val="32"/>
          <w:szCs w:val="32"/>
        </w:rPr>
        <w:t>学院将经营保证金余款退还投标方（不计利息）。</w:t>
      </w:r>
    </w:p>
    <w:p>
      <w:pPr>
        <w:widowControl/>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4.因招标方执行紧急任务、编制体制调整、政策变化或遇不可抗拒力等特殊情况需要终止合同时，招标方有权单方终止合同，且不负违约责任。</w:t>
      </w:r>
    </w:p>
    <w:p>
      <w:pPr>
        <w:widowControl/>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5.招标方每季度组织一次快递保障满意度调查（经营价格、服务范围、价格优惠率、环境卫生和服务态度等），满意率低于85%的，每低于一个百分点处以2000元的罚款且满意率连续两次达不到85%或对测评整改建议拒不执行的，招标方立即终止承包经营合同；同时，每天组织卫生清理、服务保障等检查，对达不到标准要求的进行经济处罚。</w:t>
      </w:r>
    </w:p>
    <w:p>
      <w:pPr>
        <w:widowControl/>
        <w:spacing w:line="560" w:lineRule="exact"/>
        <w:ind w:firstLine="630" w:firstLineChars="196"/>
        <w:rPr>
          <w:rFonts w:ascii="仿宋_GB2312" w:hAnsi="Calibri" w:eastAsia="仿宋_GB2312" w:cs="黑体"/>
          <w:b/>
          <w:sz w:val="32"/>
          <w:szCs w:val="32"/>
        </w:rPr>
      </w:pPr>
      <w:r>
        <w:rPr>
          <w:rFonts w:hint="eastAsia" w:ascii="仿宋_GB2312" w:hAnsi="Calibri" w:eastAsia="仿宋_GB2312" w:cs="黑体"/>
          <w:b/>
          <w:sz w:val="32"/>
          <w:szCs w:val="32"/>
        </w:rPr>
        <w:t>6.投标方在签订合同前需向学院缴纳履约保证金5万元。</w:t>
      </w:r>
    </w:p>
    <w:p>
      <w:pPr>
        <w:widowControl/>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7.投标方需承诺安排的所有工作人员必须在招标方监管部门进行备案，且经营期间不得随意更换重要岗位人员（项目经理等）。如需更换，必须经招标方监管部门同意并备案，否则，按违约处理。</w:t>
      </w:r>
    </w:p>
    <w:p>
      <w:pPr>
        <w:spacing w:line="56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8.投标方安排员工平均年龄不超过45岁，最大年龄不超过50岁，否则发现一人，按违约处理，立即辞退，并罚款1000元。</w:t>
      </w:r>
    </w:p>
    <w:p>
      <w:pPr>
        <w:spacing w:line="560" w:lineRule="exact"/>
        <w:ind w:firstLine="640" w:firstLineChars="200"/>
        <w:rPr>
          <w:rFonts w:ascii="仿宋_GB2312" w:hAnsi="宋体" w:eastAsia="仿宋_GB2312" w:cs="Times New Roman"/>
          <w:kern w:val="0"/>
          <w:sz w:val="32"/>
          <w:szCs w:val="32"/>
          <w:lang w:val="zh-CN"/>
        </w:rPr>
      </w:pPr>
      <w:r>
        <w:rPr>
          <w:rFonts w:hint="eastAsia" w:ascii="仿宋_GB2312" w:hAnsi="Calibri" w:eastAsia="仿宋_GB2312" w:cs="黑体"/>
          <w:sz w:val="32"/>
          <w:szCs w:val="32"/>
        </w:rPr>
        <w:t>9.投标方需承诺在接到中标通知7天内，安排所有人员进场，并负责进行交接事宜和快递承包经营保障</w:t>
      </w:r>
      <w:r>
        <w:rPr>
          <w:rFonts w:hint="eastAsia" w:ascii="仿宋_GB2312" w:hAnsi="宋体" w:eastAsia="仿宋_GB2312" w:cs="Times New Roman"/>
          <w:kern w:val="0"/>
          <w:sz w:val="32"/>
          <w:szCs w:val="32"/>
          <w:lang w:val="zh-CN"/>
        </w:rPr>
        <w:t>。</w:t>
      </w:r>
    </w:p>
    <w:p>
      <w:pPr>
        <w:ind w:firstLine="640" w:firstLineChars="200"/>
        <w:rPr>
          <w:rFonts w:ascii="仿宋_GB2312" w:hAnsi="Calibri" w:eastAsia="仿宋_GB2312" w:cs="黑体"/>
          <w:sz w:val="32"/>
          <w:szCs w:val="32"/>
        </w:rPr>
      </w:pPr>
      <w:r>
        <w:rPr>
          <w:rFonts w:hint="eastAsia" w:ascii="仿宋_GB2312" w:hAnsi="宋体" w:eastAsia="仿宋_GB2312" w:cs="Times New Roman"/>
          <w:kern w:val="0"/>
          <w:sz w:val="32"/>
          <w:szCs w:val="32"/>
          <w:lang w:val="zh-CN"/>
        </w:rPr>
        <w:t>10.</w:t>
      </w:r>
      <w:r>
        <w:rPr>
          <w:rFonts w:hint="eastAsia" w:ascii="仿宋_GB2312" w:hAnsi="Calibri" w:eastAsia="仿宋_GB2312" w:cs="黑体"/>
          <w:sz w:val="32"/>
          <w:szCs w:val="32"/>
        </w:rPr>
        <w:t>为杜绝安全隐患，防止事故发生，结合当前疫情形势和包裹寄存性能，投标方通过技术手段和物理方式严把收件检验检疫关口，第一时间排除问题包裹，并利用监控设备，确保包裹收发、寄存的安全性和良性运行。</w:t>
      </w:r>
    </w:p>
    <w:p>
      <w:pPr>
        <w:ind w:firstLine="640" w:firstLineChars="200"/>
        <w:rPr>
          <w:rFonts w:hint="eastAsia" w:ascii="仿宋_GB2312" w:hAnsi="Calibri" w:eastAsia="仿宋_GB2312" w:cs="黑体"/>
          <w:sz w:val="32"/>
          <w:szCs w:val="32"/>
        </w:rPr>
      </w:pPr>
      <w:r>
        <w:rPr>
          <w:rFonts w:hint="eastAsia" w:ascii="仿宋_GB2312" w:hAnsi="Calibri" w:eastAsia="仿宋_GB2312" w:cs="黑体"/>
          <w:sz w:val="32"/>
          <w:szCs w:val="32"/>
        </w:rPr>
        <w:t>11.消费者若发现投标方在经营过程中未按照合同约定的优惠率执行，经查属实后，招标方有权对投标方按照消费者所购中标人商品价格的十倍金额进行罚款，罚款金额全部上缴招标方财务部门。</w:t>
      </w:r>
    </w:p>
    <w:p>
      <w:pPr>
        <w:spacing w:line="579" w:lineRule="exact"/>
        <w:ind w:firstLine="640" w:firstLineChars="200"/>
        <w:rPr>
          <w:rFonts w:ascii="仿宋_GB2312" w:hAnsi="宋体" w:eastAsia="仿宋_GB2312" w:cs="宋体"/>
          <w:sz w:val="32"/>
          <w:szCs w:val="32"/>
        </w:rPr>
      </w:pPr>
      <w:r>
        <w:rPr>
          <w:rFonts w:hint="eastAsia" w:ascii="仿宋_GB2312" w:hAnsi="Calibri" w:eastAsia="仿宋_GB2312" w:cs="黑体"/>
          <w:sz w:val="32"/>
          <w:szCs w:val="32"/>
        </w:rPr>
        <w:t>12.</w:t>
      </w:r>
      <w:r>
        <w:rPr>
          <w:rFonts w:hint="eastAsia" w:ascii="仿宋_GB2312" w:hAnsi="宋体" w:eastAsia="仿宋_GB2312" w:cs="宋体"/>
          <w:sz w:val="32"/>
          <w:szCs w:val="32"/>
        </w:rPr>
        <w:t>经营场地的交还从合同解除（终止）之日起，投标方应在7日内将场地及招标方提供的配套设施以良好状态交还招标方(除可移动的设施设备外，严禁拆除所有水电线路或固定于墙体内等所有设施设备，以上物资的拥有权在签订合同之日起归招标方)，投标方不搬离物品视为放弃所有权，由招标方处理。</w:t>
      </w:r>
      <w:r>
        <w:rPr>
          <w:rFonts w:hint="eastAsia" w:ascii="仿宋_GB2312" w:hAnsi="Calibri" w:eastAsia="仿宋_GB2312" w:cs="黑体"/>
          <w:sz w:val="32"/>
          <w:szCs w:val="32"/>
        </w:rPr>
        <w:t>投标方未按照约定交还场地的，应向招标方缴纳场地占有使用费（每日1000元），同时，招标方有权采取必要措施予以收回，由此造成的损失由投标方承担。</w:t>
      </w:r>
    </w:p>
    <w:p>
      <w:pPr>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、其他需求</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eastAsia="zh-CN"/>
        </w:rPr>
        <w:t>无</w:t>
      </w:r>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958358"/>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ODg1MGRlMTg2YzE0YWZhMWU4MzU5MjA3NmFiZGYifQ=="/>
  </w:docVars>
  <w:rsids>
    <w:rsidRoot w:val="00BE2C2C"/>
    <w:rsid w:val="00024F26"/>
    <w:rsid w:val="000308C2"/>
    <w:rsid w:val="00036919"/>
    <w:rsid w:val="00044794"/>
    <w:rsid w:val="000611A3"/>
    <w:rsid w:val="00080B3E"/>
    <w:rsid w:val="000917C0"/>
    <w:rsid w:val="000A7B93"/>
    <w:rsid w:val="000B3357"/>
    <w:rsid w:val="000B48CD"/>
    <w:rsid w:val="000D101D"/>
    <w:rsid w:val="000F0357"/>
    <w:rsid w:val="000F4F43"/>
    <w:rsid w:val="0010429F"/>
    <w:rsid w:val="00106357"/>
    <w:rsid w:val="00132B8F"/>
    <w:rsid w:val="0018395C"/>
    <w:rsid w:val="00190F01"/>
    <w:rsid w:val="001C08EE"/>
    <w:rsid w:val="001C22A9"/>
    <w:rsid w:val="001F00A0"/>
    <w:rsid w:val="001F6DF0"/>
    <w:rsid w:val="002115AB"/>
    <w:rsid w:val="00215F17"/>
    <w:rsid w:val="00223EEB"/>
    <w:rsid w:val="002470A3"/>
    <w:rsid w:val="00254274"/>
    <w:rsid w:val="00263C25"/>
    <w:rsid w:val="00276193"/>
    <w:rsid w:val="002768DB"/>
    <w:rsid w:val="002A604D"/>
    <w:rsid w:val="002C1DE7"/>
    <w:rsid w:val="002C4600"/>
    <w:rsid w:val="002C52C5"/>
    <w:rsid w:val="002E0DFD"/>
    <w:rsid w:val="00366455"/>
    <w:rsid w:val="00366F19"/>
    <w:rsid w:val="00367062"/>
    <w:rsid w:val="003743B6"/>
    <w:rsid w:val="003A6843"/>
    <w:rsid w:val="003B0683"/>
    <w:rsid w:val="003C0B81"/>
    <w:rsid w:val="003C5309"/>
    <w:rsid w:val="003F2EE1"/>
    <w:rsid w:val="004541DE"/>
    <w:rsid w:val="00470A33"/>
    <w:rsid w:val="004A7031"/>
    <w:rsid w:val="004C36FF"/>
    <w:rsid w:val="0052249D"/>
    <w:rsid w:val="00526BB3"/>
    <w:rsid w:val="005368D8"/>
    <w:rsid w:val="005E672B"/>
    <w:rsid w:val="005F141E"/>
    <w:rsid w:val="00620840"/>
    <w:rsid w:val="006637BB"/>
    <w:rsid w:val="00680D7B"/>
    <w:rsid w:val="006901F8"/>
    <w:rsid w:val="006B39A2"/>
    <w:rsid w:val="006B49C4"/>
    <w:rsid w:val="006C0DE6"/>
    <w:rsid w:val="006C70B2"/>
    <w:rsid w:val="006E14F8"/>
    <w:rsid w:val="006F68DB"/>
    <w:rsid w:val="00723462"/>
    <w:rsid w:val="00730C53"/>
    <w:rsid w:val="00736D78"/>
    <w:rsid w:val="00740BC2"/>
    <w:rsid w:val="00792D67"/>
    <w:rsid w:val="007C1DF8"/>
    <w:rsid w:val="007E0815"/>
    <w:rsid w:val="007E46A6"/>
    <w:rsid w:val="00803D1B"/>
    <w:rsid w:val="00830034"/>
    <w:rsid w:val="00830908"/>
    <w:rsid w:val="00830A88"/>
    <w:rsid w:val="00854F32"/>
    <w:rsid w:val="00897984"/>
    <w:rsid w:val="008A3F16"/>
    <w:rsid w:val="008A5DBE"/>
    <w:rsid w:val="008B6836"/>
    <w:rsid w:val="008C11FE"/>
    <w:rsid w:val="008C2ED5"/>
    <w:rsid w:val="008D12CB"/>
    <w:rsid w:val="008D34CB"/>
    <w:rsid w:val="00931294"/>
    <w:rsid w:val="00936E7E"/>
    <w:rsid w:val="0098181E"/>
    <w:rsid w:val="009822ED"/>
    <w:rsid w:val="00984599"/>
    <w:rsid w:val="009C7DD2"/>
    <w:rsid w:val="009E5C4E"/>
    <w:rsid w:val="00A53158"/>
    <w:rsid w:val="00A53FF0"/>
    <w:rsid w:val="00A628A1"/>
    <w:rsid w:val="00A76641"/>
    <w:rsid w:val="00A942B7"/>
    <w:rsid w:val="00AA1250"/>
    <w:rsid w:val="00AA1D72"/>
    <w:rsid w:val="00AA648C"/>
    <w:rsid w:val="00AB1EE2"/>
    <w:rsid w:val="00AC2E65"/>
    <w:rsid w:val="00AE02C9"/>
    <w:rsid w:val="00B07C1E"/>
    <w:rsid w:val="00B2750E"/>
    <w:rsid w:val="00B33E7C"/>
    <w:rsid w:val="00B342D1"/>
    <w:rsid w:val="00B42FCC"/>
    <w:rsid w:val="00B43273"/>
    <w:rsid w:val="00B57A12"/>
    <w:rsid w:val="00B756A9"/>
    <w:rsid w:val="00B77EE7"/>
    <w:rsid w:val="00B85CC3"/>
    <w:rsid w:val="00BA787C"/>
    <w:rsid w:val="00BC58BF"/>
    <w:rsid w:val="00BE0189"/>
    <w:rsid w:val="00BE1C2C"/>
    <w:rsid w:val="00BE246A"/>
    <w:rsid w:val="00BE2C2C"/>
    <w:rsid w:val="00BE6E25"/>
    <w:rsid w:val="00C33C13"/>
    <w:rsid w:val="00C3735B"/>
    <w:rsid w:val="00C4024A"/>
    <w:rsid w:val="00C70750"/>
    <w:rsid w:val="00C7616F"/>
    <w:rsid w:val="00CB2C54"/>
    <w:rsid w:val="00CE2FED"/>
    <w:rsid w:val="00CF359E"/>
    <w:rsid w:val="00CF78D6"/>
    <w:rsid w:val="00D156BE"/>
    <w:rsid w:val="00D17414"/>
    <w:rsid w:val="00D22D7F"/>
    <w:rsid w:val="00D5739D"/>
    <w:rsid w:val="00D57F20"/>
    <w:rsid w:val="00D671AA"/>
    <w:rsid w:val="00D8287F"/>
    <w:rsid w:val="00DA1F9F"/>
    <w:rsid w:val="00DA71C3"/>
    <w:rsid w:val="00DA753F"/>
    <w:rsid w:val="00DC07F0"/>
    <w:rsid w:val="00DE1091"/>
    <w:rsid w:val="00E01579"/>
    <w:rsid w:val="00E434F5"/>
    <w:rsid w:val="00E7543E"/>
    <w:rsid w:val="00E862C2"/>
    <w:rsid w:val="00E96730"/>
    <w:rsid w:val="00EA5B38"/>
    <w:rsid w:val="00EF42F4"/>
    <w:rsid w:val="00F2674D"/>
    <w:rsid w:val="00F2780A"/>
    <w:rsid w:val="00F3583A"/>
    <w:rsid w:val="00F62C31"/>
    <w:rsid w:val="00F648AA"/>
    <w:rsid w:val="00F64DF1"/>
    <w:rsid w:val="00F65FB5"/>
    <w:rsid w:val="00F87AE2"/>
    <w:rsid w:val="00FA19E9"/>
    <w:rsid w:val="00FA3662"/>
    <w:rsid w:val="00FC03D5"/>
    <w:rsid w:val="00FC5840"/>
    <w:rsid w:val="00FC75C8"/>
    <w:rsid w:val="00FD77F3"/>
    <w:rsid w:val="00FE32F2"/>
    <w:rsid w:val="0AAE0B51"/>
    <w:rsid w:val="10505A4B"/>
    <w:rsid w:val="1A000B0A"/>
    <w:rsid w:val="1D247EB9"/>
    <w:rsid w:val="1DA82181"/>
    <w:rsid w:val="205C49BA"/>
    <w:rsid w:val="3A6534F2"/>
    <w:rsid w:val="3B3E5BD7"/>
    <w:rsid w:val="3F25594F"/>
    <w:rsid w:val="534F5338"/>
    <w:rsid w:val="53DC6CE8"/>
    <w:rsid w:val="57EA61B9"/>
    <w:rsid w:val="6B123A7A"/>
    <w:rsid w:val="70134D73"/>
    <w:rsid w:val="7A954DAD"/>
    <w:rsid w:val="7CCB59D6"/>
    <w:rsid w:val="7CCC49BD"/>
    <w:rsid w:val="7EA6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列出段落1"/>
    <w:basedOn w:val="1"/>
    <w:qFormat/>
    <w:uiPriority w:val="0"/>
    <w:pPr>
      <w:widowControl/>
      <w:ind w:left="720" w:firstLine="360"/>
      <w:jc w:val="left"/>
    </w:pPr>
    <w:rPr>
      <w:rFonts w:cs="Times New Roman"/>
      <w:kern w:val="0"/>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3155</Words>
  <Characters>3358</Characters>
  <Lines>8</Lines>
  <Paragraphs>2</Paragraphs>
  <TotalTime>7</TotalTime>
  <ScaleCrop>false</ScaleCrop>
  <LinksUpToDate>false</LinksUpToDate>
  <CharactersWithSpaces>3377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2021-08-31T14:25:00Z</dcterms:created>
  <dc:creator>gyb1</dc:creator>
  <cp:lastModifiedBy>心晴</cp:lastModifiedBy>
  <cp:lastPrinted>2021-06-30T07:08:00Z</cp:lastPrinted>
  <dcterms:modified xsi:type="dcterms:W3CDTF">2022-08-31T01:51:05Z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BED9A12E6CEE4C1B83966BED94E224EC</vt:lpwstr>
  </property>
</Properties>
</file>